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79" w:rsidRPr="00804379" w:rsidRDefault="00804379" w:rsidP="00804379">
      <w:pPr>
        <w:keepNext/>
        <w:spacing w:before="240" w:after="60"/>
        <w:outlineLvl w:val="0"/>
        <w:rPr>
          <w:rFonts w:ascii="Cambria" w:eastAsia="Times New Roman" w:hAnsi="Cambria" w:cs="Times New Roman"/>
          <w:b/>
          <w:bCs/>
          <w:kern w:val="32"/>
          <w:sz w:val="32"/>
          <w:szCs w:val="32"/>
        </w:rPr>
      </w:pPr>
      <w:bookmarkStart w:id="0" w:name="_Ref515632592"/>
      <w:r w:rsidRPr="00804379">
        <w:rPr>
          <w:rFonts w:ascii="Cambria" w:eastAsia="Times New Roman" w:hAnsi="Cambria" w:cs="Times New Roman"/>
          <w:b/>
          <w:bCs/>
          <w:kern w:val="32"/>
          <w:sz w:val="32"/>
          <w:szCs w:val="32"/>
        </w:rPr>
        <w:t>Safeguarding</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Data Controller(s)</w:t>
            </w:r>
          </w:p>
        </w:tc>
        <w:tc>
          <w:tcPr>
            <w:tcW w:w="6440" w:type="dxa"/>
            <w:shd w:val="clear" w:color="auto" w:fill="auto"/>
          </w:tcPr>
          <w:p w:rsidR="00804379" w:rsidRPr="00D85F1B" w:rsidRDefault="00D85F1B" w:rsidP="00804379">
            <w:pPr>
              <w:spacing w:after="0" w:line="240" w:lineRule="auto"/>
              <w:rPr>
                <w:rFonts w:ascii="Calibri" w:eastAsia="Calibri" w:hAnsi="Calibri" w:cs="Times New Roman"/>
                <w:i/>
              </w:rPr>
            </w:pPr>
            <w:r w:rsidRPr="00D85F1B">
              <w:rPr>
                <w:rFonts w:ascii="Calibri" w:eastAsia="Calibri" w:hAnsi="Calibri" w:cs="Times New Roman"/>
                <w:i/>
              </w:rPr>
              <w:t>The Birches Medical Practice</w:t>
            </w:r>
            <w:bookmarkStart w:id="1" w:name="_GoBack"/>
            <w:bookmarkEnd w:id="1"/>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Purpose</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Information for safeguarding purposes is used to assess and evaluate safeguarding concerns to ensure individuals (vulnerable adults and c</w:t>
            </w:r>
            <w:r w:rsidR="005046C8">
              <w:rPr>
                <w:rFonts w:ascii="Calibri" w:eastAsia="Calibri" w:hAnsi="Calibri" w:cs="Times New Roman"/>
              </w:rPr>
              <w:t>hildren)</w:t>
            </w:r>
            <w:r w:rsidRPr="00804379">
              <w:rPr>
                <w:rFonts w:ascii="Calibri" w:eastAsia="Calibri" w:hAnsi="Calibri" w:cs="Times New Roman"/>
              </w:rPr>
              <w:t xml:space="preserve"> are effectively protected. </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Type of information Used</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Identifiable: Personal (such as name, address, date of birth) and Special Category (health information)</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Legal basis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GDPR Article 6(1</w:t>
            </w:r>
            <w:proofErr w:type="gramStart"/>
            <w:r w:rsidRPr="00804379">
              <w:rPr>
                <w:rFonts w:ascii="Calibri" w:eastAsia="Calibri" w:hAnsi="Calibri" w:cs="Times New Roman"/>
              </w:rPr>
              <w:t>)(</w:t>
            </w:r>
            <w:proofErr w:type="gramEnd"/>
            <w:r w:rsidRPr="00804379">
              <w:rPr>
                <w:rFonts w:ascii="Calibri" w:eastAsia="Calibri" w:hAnsi="Calibri" w:cs="Times New Roman"/>
              </w:rPr>
              <w:t xml:space="preserve">e) ‘processing is necessary for the performance of a task carried out in the public interest or in the exercise of official authority…’ </w:t>
            </w: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GDPR Article 9(2)(b) ‘processing is necessary for the purposes of carrying out the obligations and exercising the specific rights of the controller or of the data subject in the field of …social protection law in so far as it is authorised by Union or Member State law..’</w:t>
            </w: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For the purposes of Article 9(2</w:t>
            </w:r>
            <w:proofErr w:type="gramStart"/>
            <w:r w:rsidRPr="00804379">
              <w:rPr>
                <w:rFonts w:ascii="Calibri" w:eastAsia="Calibri" w:hAnsi="Calibri" w:cs="Times New Roman"/>
              </w:rPr>
              <w:t>)(</w:t>
            </w:r>
            <w:proofErr w:type="gramEnd"/>
            <w:r w:rsidRPr="00804379">
              <w:rPr>
                <w:rFonts w:ascii="Calibri" w:eastAsia="Calibri" w:hAnsi="Calibri" w:cs="Times New Roman"/>
              </w:rPr>
              <w:t>b) the provisions of the Children Acts 1989 and 2004, and the Care Act 2014 are relevant.</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How we collect (the source)and use the information</w:t>
            </w:r>
          </w:p>
        </w:tc>
        <w:tc>
          <w:tcPr>
            <w:tcW w:w="6440" w:type="dxa"/>
            <w:shd w:val="clear" w:color="auto" w:fill="auto"/>
          </w:tcPr>
          <w:p w:rsidR="00804379" w:rsidRPr="00804379" w:rsidRDefault="005046C8" w:rsidP="00804379">
            <w:pPr>
              <w:spacing w:after="0" w:line="240" w:lineRule="auto"/>
              <w:rPr>
                <w:rFonts w:ascii="Calibri" w:eastAsia="Calibri" w:hAnsi="Calibri" w:cs="Times New Roman"/>
              </w:rPr>
            </w:pPr>
            <w:r>
              <w:rPr>
                <w:rFonts w:ascii="Calibri" w:eastAsia="Calibri" w:hAnsi="Calibri" w:cs="Times New Roman"/>
              </w:rPr>
              <w:t>The Practice</w:t>
            </w:r>
            <w:r w:rsidR="00804379" w:rsidRPr="00804379">
              <w:rPr>
                <w:rFonts w:ascii="Calibri" w:eastAsia="Calibri" w:hAnsi="Calibri" w:cs="Times New Roman"/>
              </w:rPr>
              <w:t xml:space="preserve"> may receive information relating to safeguarding concerns from you directly or relatives or through notification of concerns from other Health and Social Care organisations. All Health and Social Care professionals have a legal requirement to share information with appropriate agencies where safeguarding concerns about children or adults have been received. Where it is appropriate to do so the organisations will keep you informed of when information is required to be shared, to be provide you with assurance regarding the security of that sharing and the benefit to you or the person you are raising safeguarding concerns about. Access to this information is strictly controlled and where there is a requirement to share information, e.g. with police or social services, all information will be transferred safely and securely ensuring only those with a requirement to know of any concerns are appropriately informed.</w:t>
            </w:r>
          </w:p>
          <w:p w:rsidR="00804379" w:rsidRPr="00804379" w:rsidRDefault="00804379" w:rsidP="00804379">
            <w:pPr>
              <w:spacing w:after="0" w:line="240" w:lineRule="auto"/>
              <w:rPr>
                <w:rFonts w:ascii="Calibri" w:eastAsia="Calibri" w:hAnsi="Calibri" w:cs="Times New Roman"/>
              </w:rPr>
            </w:pP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The Children Act 1989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w:t>
            </w:r>
          </w:p>
          <w:p w:rsidR="00804379" w:rsidRPr="00804379" w:rsidRDefault="00804379" w:rsidP="00804379">
            <w:pPr>
              <w:spacing w:after="0" w:line="240" w:lineRule="auto"/>
              <w:rPr>
                <w:rFonts w:ascii="Calibri" w:eastAsia="Calibri" w:hAnsi="Calibri" w:cs="Times New Roman"/>
              </w:rPr>
            </w:pP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The Children Act also requires local authorities ‘to safeguard and promote the welfare of children within their area who are in need’ and to request help from specified authorities including NHS Trusts and Foundation Trusts, NHS England and CCGs. These are required by the Children Act to comply with such requests. Under the Children Act 2004 local authorities must make arrangements to promote cooperation with relevant partners and others, to improve well-being.</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Data Processors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N/A</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Your Rights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With regards to Safeguarding under GDPR you have the right:</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lastRenderedPageBreak/>
              <w:t>To be informed about the processing of your information (this notice)</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Of access to the information held about you</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have the information corrected in the event that it is inaccurate</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be notified of data breaches</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lastRenderedPageBreak/>
              <w:t>How long we will keep the information</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lang w:val="en-US"/>
              </w:rPr>
              <w:t>The organisation has adopted the retention periods for health and non-health records as set out in the Records Management Code of Practice for Health and Social Care 2016.  The retention schedule is in line with the Records Management Code of Practice for Health and Social Care 2016.</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Who we will share the information with (recipients)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Information may be shared with Safeguarding Boards, Families First Access Point (FFAP), Multi-Agency Risk Assessment Conference (MARAC), the Channel Panel, and Local Authority, other Health and Social Care organisations or the Police.</w:t>
            </w:r>
          </w:p>
        </w:tc>
      </w:tr>
    </w:tbl>
    <w:p w:rsidR="0017520C" w:rsidRDefault="0017520C"/>
    <w:sectPr w:rsidR="0017520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EC" w:rsidRDefault="009D69EC" w:rsidP="00D85F1B">
      <w:pPr>
        <w:spacing w:after="0" w:line="240" w:lineRule="auto"/>
      </w:pPr>
      <w:r>
        <w:separator/>
      </w:r>
    </w:p>
  </w:endnote>
  <w:endnote w:type="continuationSeparator" w:id="0">
    <w:p w:rsidR="009D69EC" w:rsidRDefault="009D69EC" w:rsidP="00D8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1B" w:rsidRDefault="00D85F1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Reviewed NOV 2018 - DGS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D85F1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85F1B" w:rsidRDefault="00D85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EC" w:rsidRDefault="009D69EC" w:rsidP="00D85F1B">
      <w:pPr>
        <w:spacing w:after="0" w:line="240" w:lineRule="auto"/>
      </w:pPr>
      <w:r>
        <w:separator/>
      </w:r>
    </w:p>
  </w:footnote>
  <w:footnote w:type="continuationSeparator" w:id="0">
    <w:p w:rsidR="009D69EC" w:rsidRDefault="009D69EC" w:rsidP="00D85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E7D77"/>
    <w:multiLevelType w:val="hybridMultilevel"/>
    <w:tmpl w:val="0E6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D9"/>
    <w:rsid w:val="0017520C"/>
    <w:rsid w:val="004A1CBD"/>
    <w:rsid w:val="005046C8"/>
    <w:rsid w:val="00804379"/>
    <w:rsid w:val="009D69EC"/>
    <w:rsid w:val="00D85F1B"/>
    <w:rsid w:val="00E4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F1B"/>
  </w:style>
  <w:style w:type="paragraph" w:styleId="Footer">
    <w:name w:val="footer"/>
    <w:basedOn w:val="Normal"/>
    <w:link w:val="FooterChar"/>
    <w:uiPriority w:val="99"/>
    <w:unhideWhenUsed/>
    <w:rsid w:val="00D85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F1B"/>
  </w:style>
  <w:style w:type="paragraph" w:styleId="BalloonText">
    <w:name w:val="Balloon Text"/>
    <w:basedOn w:val="Normal"/>
    <w:link w:val="BalloonTextChar"/>
    <w:uiPriority w:val="99"/>
    <w:semiHidden/>
    <w:unhideWhenUsed/>
    <w:rsid w:val="00D8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F1B"/>
  </w:style>
  <w:style w:type="paragraph" w:styleId="Footer">
    <w:name w:val="footer"/>
    <w:basedOn w:val="Normal"/>
    <w:link w:val="FooterChar"/>
    <w:uiPriority w:val="99"/>
    <w:unhideWhenUsed/>
    <w:rsid w:val="00D85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F1B"/>
  </w:style>
  <w:style w:type="paragraph" w:styleId="BalloonText">
    <w:name w:val="Balloon Text"/>
    <w:basedOn w:val="Normal"/>
    <w:link w:val="BalloonTextChar"/>
    <w:uiPriority w:val="99"/>
    <w:semiHidden/>
    <w:unhideWhenUsed/>
    <w:rsid w:val="00D8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4BA9-CB2F-44CE-B324-3376F4D4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%USERNAME%</cp:lastModifiedBy>
  <cp:revision>2</cp:revision>
  <dcterms:created xsi:type="dcterms:W3CDTF">2018-10-29T13:55:00Z</dcterms:created>
  <dcterms:modified xsi:type="dcterms:W3CDTF">2018-10-29T13:55:00Z</dcterms:modified>
</cp:coreProperties>
</file>